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5.5  ·  SECTION 5: SMS OPERATIONS AND SERVICE MANAGEMENT PRACTICES</w:t>
      </w:r>
    </w:p>
    <w:p>
      <w:pPr>
        <w:spacing w:after="120"/>
      </w:pPr>
      <w:r>
        <w:rPr>
          <w:rFonts w:ascii="Arial" w:cs="Arial" w:eastAsia="Arial" w:hAnsi="Arial"/>
          <w:b/>
          <w:bCs/>
          <w:caps w:val="false"/>
          <w:color w:val="1B3A5C"/>
          <w:sz w:val="44"/>
          <w:szCs w:val="44"/>
        </w:rPr>
        <w:t xml:space="preserve">Configuration Management and the CMDB: Building the Foundation of Service Knowledge</w:t>
      </w:r>
    </w:p>
    <w:p>
      <w:pPr>
        <w:spacing w:after="60"/>
      </w:pPr>
      <w:r>
        <w:rPr>
          <w:rFonts w:ascii="Georgia" w:cs="Georgia" w:eastAsia="Georgia" w:hAnsi="Georgia"/>
          <w:b w:val="false"/>
          <w:bCs w:val="false"/>
          <w:color w:val="4B5563"/>
          <w:sz w:val="24"/>
          <w:szCs w:val="24"/>
        </w:rPr>
        <w:t xml:space="preserve">Building and maintaining a Configuration Management Database that supports service management — CI scope definition, CI attributes, relationship mapping, CMDB accuracy verification, and how configuration management underpins incident, change, and problem management effectiveness.</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the CMDB Is Foundational</w:t>
      </w:r>
    </w:p>
    <w:p>
      <w:pPr>
        <w:spacing w:after="160" w:line="320"/>
        <w:jc w:val="both"/>
      </w:pPr>
      <w:r>
        <w:rPr>
          <w:rFonts w:ascii="Georgia" w:cs="Georgia" w:eastAsia="Georgia" w:hAnsi="Georgia"/>
          <w:b w:val="false"/>
          <w:bCs w:val="false"/>
          <w:color w:val="111827"/>
          <w:sz w:val="22"/>
          <w:szCs w:val="22"/>
        </w:rPr>
        <w:t xml:space="preserve">Configuration management is the single practice that most directly enables every other practice. Without accurate CMDB data, incident impact assessment is guesswork (you cannot estimate how many users are affected without knowing which CIs support which services). Change impact analysis is incomplete (you approve a change to the database server without realizing three critical applications depend on it). Problem pattern identification is manual (you have to remember from experience that outages correlate with a specific CI; the CMDB cannot tell you). And availability management lacks a structured component model. The CMDB converts service management from reactive troubleshooting to informed, data-driven decision-making.</w:t>
      </w:r>
    </w:p>
    <w:p>
      <w:pPr>
        <w:pBdr>
          <w:bottom w:val="single" w:color="2563A8" w:sz="4" w:space="4"/>
        </w:pBdr>
        <w:spacing w:after="160" w:before="400"/>
      </w:pPr>
      <w:r>
        <w:rPr>
          <w:rFonts w:ascii="Arial" w:cs="Arial" w:eastAsia="Arial" w:hAnsi="Arial"/>
          <w:b/>
          <w:bCs/>
          <w:caps w:val="false"/>
          <w:color w:val="1B3A5C"/>
          <w:sz w:val="28"/>
          <w:szCs w:val="28"/>
        </w:rPr>
        <w:t xml:space="preserve">Defining CI Scope</w:t>
      </w:r>
    </w:p>
    <w:p>
      <w:pPr>
        <w:spacing w:after="160" w:line="320"/>
        <w:jc w:val="both"/>
      </w:pPr>
      <w:r>
        <w:rPr>
          <w:rFonts w:ascii="Georgia" w:cs="Georgia" w:eastAsia="Georgia" w:hAnsi="Georgia"/>
          <w:b w:val="false"/>
          <w:bCs w:val="false"/>
          <w:color w:val="111827"/>
          <w:sz w:val="22"/>
          <w:szCs w:val="22"/>
        </w:rPr>
        <w:t xml:space="preserve">Scope definition begins by answering: what components must we track to manage services effectively? The answer includes servers, network devices, storage arrays, databases, operating systems, application instances, software licenses, services themselves (as CIs with customer and SLA relationships), and key documentation (SLA documents, runbooks, disaster recovery plans, supplier contracts). The answer should exclude consumables (toner cartridges), non-traceable items (generic office supplies), and components too low-level to affect service management decisions (individual software modules within an application). The CI scope should be documented and periodically reviewed; as the service infrastructure evolves, scope may need adjustment.</w:t>
      </w:r>
    </w:p>
    <w:p>
      <w:pPr>
        <w:pBdr>
          <w:bottom w:val="single" w:color="2563A8" w:sz="4" w:space="4"/>
        </w:pBdr>
        <w:spacing w:after="160" w:before="400"/>
      </w:pPr>
      <w:r>
        <w:rPr>
          <w:rFonts w:ascii="Arial" w:cs="Arial" w:eastAsia="Arial" w:hAnsi="Arial"/>
          <w:b/>
          <w:bCs/>
          <w:caps w:val="false"/>
          <w:color w:val="1B3A5C"/>
          <w:sz w:val="28"/>
          <w:szCs w:val="28"/>
        </w:rPr>
        <w:t xml:space="preserve">CI Types and Attributes</w:t>
      </w:r>
    </w:p>
    <w:p>
      <w:pPr>
        <w:spacing w:after="160" w:line="320"/>
        <w:jc w:val="both"/>
      </w:pPr>
      <w:r>
        <w:rPr>
          <w:rFonts w:ascii="Georgia" w:cs="Georgia" w:eastAsia="Georgia" w:hAnsi="Georgia"/>
          <w:b w:val="false"/>
          <w:bCs w:val="false"/>
          <w:color w:val="111827"/>
          <w:sz w:val="22"/>
          <w:szCs w:val="22"/>
        </w:rPr>
        <w:t xml:space="preserve">CI types include hardware (servers, network hardware, storage, devices), software (operating systems, applications, patches), services (the services themselves), and documentation (SLAs, procedures). For each type, define required attributes: CI ID (unique identifier), name, type, category, status (active, retired, planned), owner, location (physical or logical), version, support group, cost center, criticality rating, and lifecycle dates (commissioned, decommissioned). These attributes are the foundation of the CMDB schema; consistency in attribute definition is critical.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 CMDB without relationship mapping is an asset register; it answers "what do we have?" but not "what does it support?" Relationship mapping is what enables impact assessment and service dependency analysis.</w:t>
            </w:r>
          </w:p>
        </w:tc>
      </w:tr>
    </w:tbl>
    <w:p>
      <w:pPr>
        <w:pBdr>
          <w:bottom w:val="single" w:color="2563A8" w:sz="4" w:space="4"/>
        </w:pBdr>
        <w:spacing w:after="160" w:before="400"/>
      </w:pPr>
      <w:r>
        <w:rPr>
          <w:rFonts w:ascii="Arial" w:cs="Arial" w:eastAsia="Arial" w:hAnsi="Arial"/>
          <w:b/>
          <w:bCs/>
          <w:caps w:val="false"/>
          <w:color w:val="1B3A5C"/>
          <w:sz w:val="28"/>
          <w:szCs w:val="28"/>
        </w:rPr>
        <w:t xml:space="preserve">Relationship Mapping</w:t>
      </w:r>
    </w:p>
    <w:p>
      <w:pPr>
        <w:spacing w:after="160" w:line="320"/>
        <w:jc w:val="both"/>
      </w:pPr>
      <w:r>
        <w:rPr>
          <w:rFonts w:ascii="Georgia" w:cs="Georgia" w:eastAsia="Georgia" w:hAnsi="Georgia"/>
          <w:b w:val="false"/>
          <w:bCs w:val="false"/>
          <w:color w:val="111827"/>
          <w:sz w:val="22"/>
          <w:szCs w:val="22"/>
        </w:rPr>
        <w:t xml:space="preserve">Relationships convert the CMDB from a static asset list into a dynamic service dependency model. Types of relationships: parent-child (a server is a parent; its OS and running applications are children); dependency (Application A depends on Database B for data retrieval); service relationship (Service X is supported by Server A, Application B, and Database C). Relationship mapping enables impact assessment: if a network switch fails, query the CMDB relationships to identify all servers connected to it, then identify all services supported by those servers—this is the true blast radius of the failure. Without relationship mapping, impact assessment requires hours of manual detective work.</w:t>
      </w:r>
    </w:p>
    <w:p>
      <w:pPr>
        <w:pBdr>
          <w:bottom w:val="single" w:color="2563A8" w:sz="4" w:space="4"/>
        </w:pBdr>
        <w:spacing w:after="160" w:before="400"/>
      </w:pPr>
      <w:r>
        <w:rPr>
          <w:rFonts w:ascii="Arial" w:cs="Arial" w:eastAsia="Arial" w:hAnsi="Arial"/>
          <w:b/>
          <w:bCs/>
          <w:caps w:val="false"/>
          <w:color w:val="1B3A5C"/>
          <w:sz w:val="28"/>
          <w:szCs w:val="28"/>
        </w:rPr>
        <w:t xml:space="preserve">CMDB Population Strategy</w:t>
      </w:r>
    </w:p>
    <w:p>
      <w:pPr>
        <w:spacing w:after="160" w:line="320"/>
        <w:jc w:val="both"/>
      </w:pPr>
      <w:r>
        <w:rPr>
          <w:rFonts w:ascii="Georgia" w:cs="Georgia" w:eastAsia="Georgia" w:hAnsi="Georgia"/>
          <w:b w:val="false"/>
          <w:bCs w:val="false"/>
          <w:color w:val="111827"/>
          <w:sz w:val="22"/>
          <w:szCs w:val="22"/>
        </w:rPr>
        <w:t xml:space="preserve">Two strategies: discovery-based population (automated scanning tools identify CIs and their attributes from the live environment) and manual population (for CIs not discoverable automatically or for attributes not available via discovery). The population plan defines scope (which CI types to include), tools (network discovery, agent-based inventory collection, cloud APIs), timeline, and validation methodology. Many organizations prioritize critical services first: map all CIs supporting the top 10 customer-facing services, then expand to less critical services. The initial population effort is significant; ongoing maintenance requires discipline.</w:t>
      </w:r>
    </w:p>
    <w:p>
      <w:pPr>
        <w:pBdr>
          <w:bottom w:val="single" w:color="2563A8" w:sz="4" w:space="4"/>
        </w:pBdr>
        <w:spacing w:after="160" w:before="400"/>
      </w:pPr>
      <w:r>
        <w:rPr>
          <w:rFonts w:ascii="Arial" w:cs="Arial" w:eastAsia="Arial" w:hAnsi="Arial"/>
          <w:b/>
          <w:bCs/>
          <w:caps w:val="false"/>
          <w:color w:val="1B3A5C"/>
          <w:sz w:val="28"/>
          <w:szCs w:val="28"/>
        </w:rPr>
        <w:t xml:space="preserve">CMDB Accuracy Verification</w:t>
      </w:r>
    </w:p>
    <w:p>
      <w:pPr>
        <w:spacing w:after="160" w:line="320"/>
        <w:jc w:val="both"/>
      </w:pPr>
      <w:r>
        <w:rPr>
          <w:rFonts w:ascii="Georgia" w:cs="Georgia" w:eastAsia="Georgia" w:hAnsi="Georgia"/>
          <w:b w:val="false"/>
          <w:bCs w:val="false"/>
          <w:color w:val="111827"/>
          <w:sz w:val="22"/>
          <w:szCs w:val="22"/>
        </w:rPr>
        <w:t xml:space="preserve">The CMDB must be verified: schedule quarterly verification for most organizations, monthly for high-change environments. Sampling methodology: randomly sample CIs from each type; fully audit CIs supporting critical services. Reconciliation compares CMDB data to the actual environment—physical verification (walk to the data center and verify servers exist), discovery tool comparison (re-run discovery tools and compare to CMDB), cloud platform comparison (query the cloud provider API and compare to CMDB). Accuracy KPI: target 95%+ accuracy for critical CIs. If accuracy falls below this threshold, investigation and remediation is required.</w:t>
      </w:r>
    </w:p>
    <w:p>
      <w:pPr>
        <w:pBdr>
          <w:bottom w:val="single" w:color="2563A8" w:sz="4" w:space="4"/>
        </w:pBdr>
        <w:spacing w:after="160" w:before="400"/>
      </w:pPr>
      <w:r>
        <w:rPr>
          <w:rFonts w:ascii="Arial" w:cs="Arial" w:eastAsia="Arial" w:hAnsi="Arial"/>
          <w:b/>
          <w:bCs/>
          <w:caps w:val="false"/>
          <w:color w:val="1B3A5C"/>
          <w:sz w:val="28"/>
          <w:szCs w:val="28"/>
        </w:rPr>
        <w:t xml:space="preserve">Governance and Ongoing Maintenance</w:t>
      </w:r>
    </w:p>
    <w:p>
      <w:pPr>
        <w:spacing w:after="160" w:line="320"/>
        <w:jc w:val="both"/>
      </w:pPr>
      <w:r>
        <w:rPr>
          <w:rFonts w:ascii="Georgia" w:cs="Georgia" w:eastAsia="Georgia" w:hAnsi="Georgia"/>
          <w:b w:val="false"/>
          <w:bCs w:val="false"/>
          <w:color w:val="111827"/>
          <w:sz w:val="22"/>
          <w:szCs w:val="22"/>
        </w:rPr>
        <w:t xml:space="preserve">The configuration manager role is responsible for CMDB governance. Policies define who can create, update, retire CI records (typically: discovery tools auto-populate; teams request creation of undiscoverable CIs; configuration manager approves and enters). The CI change process requires that updates to the CMDB are part of change record closure; if a change modifies a server configuration, the CMDB update is a closure requirement. Audit trail for CMDB changes ensures accountability. The CMDB must be the single source of truth; prevent shadow CMDBs (independent spreadsheets) or parallel records in different tools.</w:t>
      </w:r>
    </w:p>
    <w:p>
      <w:pPr>
        <w:pBdr>
          <w:bottom w:val="single" w:color="2563A8" w:sz="4" w:space="4"/>
        </w:pBdr>
        <w:spacing w:after="160" w:before="400"/>
      </w:pPr>
      <w:r>
        <w:rPr>
          <w:rFonts w:ascii="Arial" w:cs="Arial" w:eastAsia="Arial" w:hAnsi="Arial"/>
          <w:b/>
          <w:bCs/>
          <w:caps w:val="false"/>
          <w:color w:val="1B3A5C"/>
          <w:sz w:val="28"/>
          <w:szCs w:val="28"/>
        </w:rPr>
        <w:t xml:space="preserve">Using the CMDB Operationally</w:t>
      </w:r>
    </w:p>
    <w:p>
      <w:pPr>
        <w:spacing w:after="160" w:line="320"/>
        <w:jc w:val="both"/>
      </w:pPr>
      <w:r>
        <w:rPr>
          <w:rFonts w:ascii="Georgia" w:cs="Georgia" w:eastAsia="Georgia" w:hAnsi="Georgia"/>
          <w:b w:val="false"/>
          <w:bCs w:val="false"/>
          <w:color w:val="111827"/>
          <w:sz w:val="22"/>
          <w:szCs w:val="22"/>
        </w:rPr>
        <w:t xml:space="preserve">In incident management: when an incident is logged, link affected CIs. Use CMDB relationships to identify all services potentially impacted by a CI failure. In change management: when a change is proposed, query CMDB to identify all dependent CIs and services; risk assessment is based on impact breadth. In problem management: query CMDB for CI involvement in recurring incidents; identify aging or high-risk CIs as proactive problem candidates. In availability management: calculate availability per service using component CI monitoring data combined with the CI relationship model—availability of Service X equals the product of availability of its supporting CIs.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CMDB accuracy must be actively maintained, not just verified after initial population. Every change that affects a CI must include a CMDB update as a mandatory closure step. Auditors will physically verify CI attributes to test CMDB accuracy.</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CMDB integration features automated discovery tool connectors (VMware, AWS, Azure, on-premise discovery), visual CI relationship mapping, bulk import from spreadsheets, and scheduled accuracy verification reports.</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2026-04-05T09:56:40.760Z</dcterms:created>
  <dcterms:modified xsi:type="dcterms:W3CDTF">2026-04-05T09:56:40.760Z</dcterms:modified>
</cp:coreProperties>
</file>

<file path=docProps/custom.xml><?xml version="1.0" encoding="utf-8"?>
<Properties xmlns="http://schemas.openxmlformats.org/officeDocument/2006/custom-properties" xmlns:vt="http://schemas.openxmlformats.org/officeDocument/2006/docPropsVTypes"/>
</file>